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2" w:rsidRDefault="00E07C30" w:rsidP="00B51F62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276475" cy="914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7E6D53" w:rsidRDefault="007E6D53" w:rsidP="007E6D53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D0D0D"/>
          <w:sz w:val="32"/>
          <w:szCs w:val="32"/>
        </w:rPr>
      </w:pPr>
      <w:r>
        <w:rPr>
          <w:rFonts w:ascii="Segoe UI" w:eastAsia="Times New Roman" w:hAnsi="Segoe UI" w:cs="Segoe UI"/>
          <w:color w:val="0D0D0D"/>
          <w:sz w:val="32"/>
          <w:szCs w:val="32"/>
        </w:rPr>
        <w:t xml:space="preserve">Управление приняло участие в </w:t>
      </w:r>
      <w:r>
        <w:rPr>
          <w:rFonts w:ascii="Segoe UI" w:hAnsi="Segoe UI" w:cs="Segoe UI"/>
          <w:sz w:val="32"/>
          <w:szCs w:val="32"/>
        </w:rPr>
        <w:t>XI Международном форуме «Юридическая неделя на Урале»</w:t>
      </w:r>
      <w:r>
        <w:rPr>
          <w:rFonts w:ascii="Segoe UI" w:eastAsia="Times New Roman" w:hAnsi="Segoe UI" w:cs="Segoe UI"/>
          <w:color w:val="0D0D0D"/>
          <w:sz w:val="32"/>
          <w:szCs w:val="32"/>
        </w:rPr>
        <w:t xml:space="preserve">. </w:t>
      </w:r>
    </w:p>
    <w:p w:rsidR="007E6D53" w:rsidRDefault="007E6D53" w:rsidP="007E6D53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D0D0D"/>
          <w:sz w:val="24"/>
          <w:szCs w:val="24"/>
        </w:rPr>
      </w:pPr>
    </w:p>
    <w:p w:rsidR="007E6D53" w:rsidRDefault="007E6D53" w:rsidP="007E6D53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16 октября специалисты Управления </w:t>
      </w:r>
      <w:proofErr w:type="spellStart"/>
      <w:r>
        <w:rPr>
          <w:rFonts w:ascii="Segoe UI" w:eastAsia="Times New Roman" w:hAnsi="Segoe UI" w:cs="Segoe UI"/>
          <w:color w:val="0D0D0D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 по Свердловской области приняли участие в конференции Администрации города Екатеринбурга в рамках </w:t>
      </w:r>
      <w:r>
        <w:rPr>
          <w:rFonts w:ascii="Segoe UI" w:hAnsi="Segoe UI" w:cs="Segoe UI"/>
          <w:sz w:val="24"/>
          <w:szCs w:val="24"/>
        </w:rPr>
        <w:t>XI Международного форума «Юридическая неделя на Урале»</w:t>
      </w:r>
      <w:r>
        <w:rPr>
          <w:rFonts w:ascii="Segoe UI" w:eastAsia="Times New Roman" w:hAnsi="Segoe UI" w:cs="Segoe UI"/>
          <w:color w:val="0D0D0D"/>
          <w:sz w:val="24"/>
          <w:szCs w:val="24"/>
        </w:rPr>
        <w:t>.</w:t>
      </w:r>
    </w:p>
    <w:p w:rsidR="007E6D53" w:rsidRDefault="007E6D53" w:rsidP="007E6D53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E6D53" w:rsidRDefault="007E6D53" w:rsidP="007E6D53">
      <w:pPr>
        <w:ind w:firstLine="708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</w:rPr>
        <w:t>Организаторами форума выступили Свердловское региональное отделение Общероссийской общественной организации «Ассоциация юристов России», коллегия адвокатов «</w:t>
      </w:r>
      <w:proofErr w:type="spellStart"/>
      <w:r>
        <w:rPr>
          <w:rFonts w:ascii="Segoe UI" w:hAnsi="Segoe UI" w:cs="Segoe UI"/>
          <w:sz w:val="24"/>
          <w:szCs w:val="24"/>
        </w:rPr>
        <w:t>Регионсервис</w:t>
      </w:r>
      <w:proofErr w:type="spellEnd"/>
      <w:r>
        <w:rPr>
          <w:rFonts w:ascii="Segoe UI" w:hAnsi="Segoe UI" w:cs="Segoe UI"/>
          <w:sz w:val="24"/>
          <w:szCs w:val="24"/>
        </w:rPr>
        <w:t>», Уральский государственный юридический университет при научной поддержке Исследовательского центра частного права им. С.С. Алексеева при Президенте России и Уполномоченный по защите прав предпринимателей в Свердловской области. </w:t>
      </w:r>
    </w:p>
    <w:p w:rsidR="007E6D53" w:rsidRDefault="007E6D53" w:rsidP="007E6D53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Конференция была посвящена двум основным темам: «Возмещение судебных расходов: проблемы </w:t>
      </w:r>
      <w:proofErr w:type="spellStart"/>
      <w:r>
        <w:rPr>
          <w:rFonts w:ascii="Segoe UI" w:eastAsia="Times New Roman" w:hAnsi="Segoe UI" w:cs="Segoe UI"/>
          <w:color w:val="0D0D0D"/>
          <w:sz w:val="24"/>
          <w:szCs w:val="24"/>
        </w:rPr>
        <w:t>правоприменения</w:t>
      </w:r>
      <w:proofErr w:type="spellEnd"/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 и судебная практика», «Возмещение убытков: вопросы теории и практики».</w:t>
      </w:r>
    </w:p>
    <w:p w:rsidR="007E6D53" w:rsidRDefault="007E6D53" w:rsidP="007E6D53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D0D0D"/>
          <w:sz w:val="24"/>
          <w:szCs w:val="24"/>
        </w:rPr>
      </w:pPr>
    </w:p>
    <w:p w:rsidR="007E6D53" w:rsidRDefault="007E6D53" w:rsidP="007E6D53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Кроме того, были затронуты вопросы правоприменительной практики в области осуществления государственного кадастрового учета и государственной регистрации прав в реалиях последних изменений действующего законодательства, в частности: порядок установления публичного сервитута, способы обеспечения обязательств застройщиков по передаче объектов долевого строительства после 01.07.2019; порядок осуществления строительства жилых и садовых домов с учетом «Дачной амнистии», реализация норм закона о ведении гражданами садоводства и огородничества, а также продемонстрированы возможности электронных сервисов </w:t>
      </w:r>
      <w:proofErr w:type="spellStart"/>
      <w:r>
        <w:rPr>
          <w:rFonts w:ascii="Segoe UI" w:eastAsia="Times New Roman" w:hAnsi="Segoe UI" w:cs="Segoe UI"/>
          <w:color w:val="0D0D0D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D0D0D"/>
          <w:sz w:val="24"/>
          <w:szCs w:val="24"/>
        </w:rPr>
        <w:t>.</w:t>
      </w:r>
    </w:p>
    <w:p w:rsidR="007E6D53" w:rsidRDefault="007E6D53" w:rsidP="007E6D53">
      <w:pPr>
        <w:shd w:val="clear" w:color="auto" w:fill="FFFFFF"/>
        <w:spacing w:after="0" w:line="276" w:lineRule="atLeast"/>
        <w:ind w:firstLine="708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7E6D53" w:rsidRDefault="007E6D53" w:rsidP="007E6D53">
      <w:pPr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мероприятии приняли участие представители Екатеринбургской городской Думы, Прокуратуры города, Арбитражного суда Свердловской области, Управления Федеральной службы судебных приставов по Свердловской области, а также представители других юридических организаций региона.</w:t>
      </w:r>
    </w:p>
    <w:p w:rsidR="007E6D53" w:rsidRDefault="007E6D53" w:rsidP="007E6D53">
      <w:pPr>
        <w:ind w:firstLine="708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</w:rPr>
        <w:t xml:space="preserve">XI Международный форум «Юридическая неделя на Урале» продлится до 19 октября. </w:t>
      </w:r>
    </w:p>
    <w:p w:rsidR="007E6D53" w:rsidRDefault="007E6D53" w:rsidP="007E6D5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Мероприятия будут проходить на разных городских площадках в формате конференций, круглых столов, научно-практических семинаров по вопросам развития права. </w:t>
      </w:r>
    </w:p>
    <w:p w:rsidR="007E6D53" w:rsidRDefault="007E6D53" w:rsidP="007E6D5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Как показывает практика, ежегодно в форуме принимает участие около тысячи человек.</w:t>
      </w:r>
    </w:p>
    <w:p w:rsidR="001F061B" w:rsidRDefault="001F061B" w:rsidP="00E0390C">
      <w:pPr>
        <w:shd w:val="clear" w:color="auto" w:fill="FFFFFF"/>
        <w:ind w:firstLine="708"/>
        <w:jc w:val="both"/>
        <w:rPr>
          <w:rFonts w:ascii="pt_sansregular" w:hAnsi="pt_sansregular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3514C4" w:rsidRDefault="00B63149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6314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3pt;margin-top:4.3pt;width:484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" strokecolor="#0070c0"/>
        </w:pict>
      </w:r>
    </w:p>
    <w:p w:rsidR="006F0BBE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743176" w:rsidRDefault="00743176" w:rsidP="00743176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43176" w:rsidRPr="00354DF2" w:rsidRDefault="00743176" w:rsidP="00743176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43176" w:rsidRPr="00354DF2" w:rsidRDefault="00743176" w:rsidP="0074317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743176" w:rsidRDefault="00743176" w:rsidP="0074317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743176" w:rsidRPr="007E5B24" w:rsidRDefault="00743176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sectPr w:rsidR="00743176" w:rsidRPr="007E5B24" w:rsidSect="00AB5C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7C30"/>
    <w:rsid w:val="00006964"/>
    <w:rsid w:val="00092049"/>
    <w:rsid w:val="000A27DA"/>
    <w:rsid w:val="000C1B9E"/>
    <w:rsid w:val="00131E7F"/>
    <w:rsid w:val="001C783B"/>
    <w:rsid w:val="001F061B"/>
    <w:rsid w:val="00201CE4"/>
    <w:rsid w:val="00242F94"/>
    <w:rsid w:val="0025423E"/>
    <w:rsid w:val="0026031F"/>
    <w:rsid w:val="002820D2"/>
    <w:rsid w:val="003123B0"/>
    <w:rsid w:val="003514C4"/>
    <w:rsid w:val="0036269D"/>
    <w:rsid w:val="00365F90"/>
    <w:rsid w:val="003A699D"/>
    <w:rsid w:val="003C3B78"/>
    <w:rsid w:val="003F651A"/>
    <w:rsid w:val="0045040E"/>
    <w:rsid w:val="00452A5B"/>
    <w:rsid w:val="00466FEB"/>
    <w:rsid w:val="004B611B"/>
    <w:rsid w:val="004D4793"/>
    <w:rsid w:val="00536B55"/>
    <w:rsid w:val="00551B1C"/>
    <w:rsid w:val="005D1282"/>
    <w:rsid w:val="005E0790"/>
    <w:rsid w:val="005E1215"/>
    <w:rsid w:val="006131DF"/>
    <w:rsid w:val="0061550C"/>
    <w:rsid w:val="0062265E"/>
    <w:rsid w:val="00657E8D"/>
    <w:rsid w:val="006B6170"/>
    <w:rsid w:val="006C6A8B"/>
    <w:rsid w:val="006F0BBE"/>
    <w:rsid w:val="00726F8B"/>
    <w:rsid w:val="00737FCB"/>
    <w:rsid w:val="00741E7D"/>
    <w:rsid w:val="00743176"/>
    <w:rsid w:val="00752B38"/>
    <w:rsid w:val="00793385"/>
    <w:rsid w:val="007E11C1"/>
    <w:rsid w:val="007E4CDF"/>
    <w:rsid w:val="007E6D53"/>
    <w:rsid w:val="00803E41"/>
    <w:rsid w:val="0080712C"/>
    <w:rsid w:val="00887E27"/>
    <w:rsid w:val="008E3A15"/>
    <w:rsid w:val="009217C5"/>
    <w:rsid w:val="009715AC"/>
    <w:rsid w:val="00975DE2"/>
    <w:rsid w:val="009D70A8"/>
    <w:rsid w:val="00A17822"/>
    <w:rsid w:val="00A72BA5"/>
    <w:rsid w:val="00A95C89"/>
    <w:rsid w:val="00AB5CFE"/>
    <w:rsid w:val="00AB7A1C"/>
    <w:rsid w:val="00AC0D8D"/>
    <w:rsid w:val="00AC4226"/>
    <w:rsid w:val="00AF3045"/>
    <w:rsid w:val="00B40AD0"/>
    <w:rsid w:val="00B51F62"/>
    <w:rsid w:val="00B5572A"/>
    <w:rsid w:val="00B63149"/>
    <w:rsid w:val="00B73539"/>
    <w:rsid w:val="00B92172"/>
    <w:rsid w:val="00BA4C70"/>
    <w:rsid w:val="00BB0999"/>
    <w:rsid w:val="00BC6031"/>
    <w:rsid w:val="00BD4AFF"/>
    <w:rsid w:val="00C0764E"/>
    <w:rsid w:val="00C773AB"/>
    <w:rsid w:val="00C92F33"/>
    <w:rsid w:val="00CD1FBE"/>
    <w:rsid w:val="00D50144"/>
    <w:rsid w:val="00D51BD8"/>
    <w:rsid w:val="00D7216A"/>
    <w:rsid w:val="00DC762D"/>
    <w:rsid w:val="00DF050B"/>
    <w:rsid w:val="00E0118C"/>
    <w:rsid w:val="00E0390C"/>
    <w:rsid w:val="00E07C30"/>
    <w:rsid w:val="00E377DB"/>
    <w:rsid w:val="00E4531A"/>
    <w:rsid w:val="00F16E75"/>
    <w:rsid w:val="00F20B93"/>
    <w:rsid w:val="00F213CC"/>
    <w:rsid w:val="00F558A9"/>
    <w:rsid w:val="00F724A7"/>
    <w:rsid w:val="00F76B0A"/>
    <w:rsid w:val="00F94F27"/>
    <w:rsid w:val="00FA0BB5"/>
    <w:rsid w:val="00FE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paragraph" w:styleId="3">
    <w:name w:val="heading 3"/>
    <w:basedOn w:val="a"/>
    <w:link w:val="30"/>
    <w:uiPriority w:val="9"/>
    <w:qFormat/>
    <w:rsid w:val="00B5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1F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profiletitlefeaturedno">
    <w:name w:val="article_profile_title_featured_no"/>
    <w:basedOn w:val="a0"/>
    <w:rsid w:val="00B7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admin</cp:lastModifiedBy>
  <cp:revision>2</cp:revision>
  <cp:lastPrinted>2018-03-26T09:08:00Z</cp:lastPrinted>
  <dcterms:created xsi:type="dcterms:W3CDTF">2019-10-18T04:27:00Z</dcterms:created>
  <dcterms:modified xsi:type="dcterms:W3CDTF">2019-10-18T04:27:00Z</dcterms:modified>
</cp:coreProperties>
</file>